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EC2" w:rsidRDefault="00103EC2">
      <w:pPr>
        <w:rPr>
          <w:rFonts w:hint="eastAsia"/>
        </w:rPr>
      </w:pPr>
    </w:p>
    <w:p w:rsidR="0027642B" w:rsidRDefault="0027642B" w:rsidP="0027642B">
      <w:pPr>
        <w:pStyle w:val="Default"/>
        <w:jc w:val="center"/>
        <w:rPr>
          <w:rFonts w:ascii="Times New Roman" w:eastAsia="仿宋_GB2312"/>
          <w:color w:val="auto"/>
        </w:rPr>
      </w:pPr>
      <w:bookmarkStart w:id="0" w:name="_GoBack"/>
      <w:r>
        <w:rPr>
          <w:rFonts w:ascii="Times New Roman" w:eastAsia="仿宋_GB2312"/>
          <w:b/>
          <w:bCs/>
          <w:color w:val="auto"/>
          <w:sz w:val="28"/>
          <w:szCs w:val="28"/>
        </w:rPr>
        <w:t>2019-2021</w:t>
      </w:r>
      <w:r>
        <w:rPr>
          <w:rFonts w:ascii="Times New Roman" w:eastAsia="仿宋_GB2312"/>
          <w:b/>
          <w:bCs/>
          <w:color w:val="auto"/>
          <w:sz w:val="28"/>
          <w:szCs w:val="28"/>
        </w:rPr>
        <w:t>年灌南县创建江苏省生态文明建设示范区建设指标表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352"/>
        <w:gridCol w:w="365"/>
        <w:gridCol w:w="581"/>
        <w:gridCol w:w="533"/>
        <w:gridCol w:w="1299"/>
        <w:gridCol w:w="991"/>
        <w:gridCol w:w="1230"/>
        <w:gridCol w:w="1128"/>
        <w:gridCol w:w="20"/>
        <w:gridCol w:w="15"/>
        <w:gridCol w:w="17"/>
        <w:gridCol w:w="1221"/>
        <w:gridCol w:w="8"/>
      </w:tblGrid>
      <w:tr w:rsidR="00661E63" w:rsidRPr="0027642B" w:rsidTr="00661E63">
        <w:trPr>
          <w:gridAfter w:val="1"/>
          <w:wAfter w:w="5" w:type="pct"/>
          <w:tblHeader/>
        </w:trPr>
        <w:tc>
          <w:tcPr>
            <w:tcW w:w="342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4"/>
              </w:rPr>
            </w:pPr>
            <w:r w:rsidRPr="0027642B">
              <w:rPr>
                <w:rStyle w:val="font131"/>
                <w:rFonts w:ascii="Times New Roman" w:eastAsia="仿宋_GB2312" w:hAnsi="Times New Roman" w:hint="default"/>
                <w:sz w:val="21"/>
              </w:rPr>
              <w:t>序号</w:t>
            </w:r>
          </w:p>
        </w:tc>
        <w:tc>
          <w:tcPr>
            <w:tcW w:w="779" w:type="pct"/>
            <w:gridSpan w:val="3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4"/>
              </w:rPr>
            </w:pPr>
            <w:r w:rsidRPr="0027642B">
              <w:rPr>
                <w:rStyle w:val="font91"/>
                <w:rFonts w:ascii="Times New Roman" w:eastAsia="仿宋_GB2312" w:hAnsi="Times New Roman"/>
                <w:sz w:val="21"/>
              </w:rPr>
              <w:t>指标名称</w:t>
            </w:r>
          </w:p>
        </w:tc>
        <w:tc>
          <w:tcPr>
            <w:tcW w:w="320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4"/>
              </w:rPr>
            </w:pPr>
            <w:r w:rsidRPr="0027642B">
              <w:rPr>
                <w:rStyle w:val="font91"/>
                <w:rFonts w:ascii="Times New Roman" w:eastAsia="仿宋_GB2312" w:hAnsi="Times New Roman"/>
                <w:sz w:val="21"/>
              </w:rPr>
              <w:t>单位</w:t>
            </w:r>
          </w:p>
        </w:tc>
        <w:tc>
          <w:tcPr>
            <w:tcW w:w="780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指标值</w:t>
            </w:r>
          </w:p>
        </w:tc>
        <w:tc>
          <w:tcPr>
            <w:tcW w:w="595" w:type="pct"/>
            <w:vMerge w:val="restar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指标属性</w:t>
            </w:r>
          </w:p>
        </w:tc>
        <w:tc>
          <w:tcPr>
            <w:tcW w:w="2179" w:type="pct"/>
            <w:gridSpan w:val="6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灌南县</w:t>
            </w:r>
          </w:p>
        </w:tc>
      </w:tr>
      <w:tr w:rsidR="00661E63" w:rsidRPr="0027642B" w:rsidTr="00661E63">
        <w:trPr>
          <w:trHeight w:val="609"/>
          <w:tblHeader/>
        </w:trPr>
        <w:tc>
          <w:tcPr>
            <w:tcW w:w="342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779" w:type="pct"/>
            <w:gridSpan w:val="3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320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780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595" w:type="pct"/>
            <w:vMerge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Style w:val="font81"/>
                <w:rFonts w:eastAsia="仿宋_GB2312"/>
                <w:sz w:val="21"/>
              </w:rPr>
            </w:pP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4"/>
              </w:rPr>
            </w:pPr>
            <w:r w:rsidRPr="0027642B">
              <w:rPr>
                <w:rStyle w:val="font81"/>
                <w:rFonts w:eastAsia="仿宋_GB2312"/>
                <w:sz w:val="21"/>
              </w:rPr>
              <w:t>2019</w:t>
            </w:r>
            <w:r w:rsidRPr="0027642B">
              <w:rPr>
                <w:rStyle w:val="font181"/>
                <w:rFonts w:ascii="Times New Roman" w:eastAsia="仿宋_GB2312" w:hAnsi="Times New Roman" w:hint="default"/>
                <w:sz w:val="21"/>
              </w:rPr>
              <w:t>年指标值</w:t>
            </w:r>
          </w:p>
        </w:tc>
        <w:tc>
          <w:tcPr>
            <w:tcW w:w="698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4"/>
              </w:rPr>
            </w:pPr>
            <w:r w:rsidRPr="0027642B">
              <w:rPr>
                <w:rStyle w:val="font81"/>
                <w:rFonts w:eastAsia="仿宋_GB2312"/>
                <w:sz w:val="21"/>
              </w:rPr>
              <w:t>2020</w:t>
            </w:r>
            <w:r w:rsidRPr="0027642B">
              <w:rPr>
                <w:rStyle w:val="font181"/>
                <w:rFonts w:ascii="Times New Roman" w:eastAsia="仿宋_GB2312" w:hAnsi="Times New Roman" w:hint="default"/>
                <w:sz w:val="21"/>
              </w:rPr>
              <w:t>年指标值</w:t>
            </w:r>
          </w:p>
        </w:tc>
        <w:tc>
          <w:tcPr>
            <w:tcW w:w="748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4"/>
              </w:rPr>
            </w:pPr>
            <w:r w:rsidRPr="0027642B">
              <w:rPr>
                <w:rStyle w:val="font81"/>
                <w:rFonts w:eastAsia="仿宋_GB2312"/>
                <w:sz w:val="21"/>
              </w:rPr>
              <w:t>2021</w:t>
            </w:r>
            <w:r w:rsidRPr="0027642B">
              <w:rPr>
                <w:rStyle w:val="font181"/>
                <w:rFonts w:ascii="Times New Roman" w:eastAsia="仿宋_GB2312" w:hAnsi="Times New Roman" w:hint="default"/>
                <w:sz w:val="21"/>
              </w:rPr>
              <w:t>年指标值</w:t>
            </w:r>
          </w:p>
        </w:tc>
      </w:tr>
      <w:tr w:rsidR="00661E63" w:rsidRPr="0027642B" w:rsidTr="00661E63">
        <w:trPr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生态文明建设规划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-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制定实施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约束性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制定实施</w:t>
            </w:r>
          </w:p>
        </w:tc>
        <w:tc>
          <w:tcPr>
            <w:tcW w:w="698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制定实施</w:t>
            </w:r>
          </w:p>
        </w:tc>
        <w:tc>
          <w:tcPr>
            <w:tcW w:w="748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制定实施</w:t>
            </w:r>
          </w:p>
        </w:tc>
      </w:tr>
      <w:tr w:rsidR="00661E63" w:rsidRPr="0027642B" w:rsidTr="00661E63">
        <w:trPr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2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党委政府对生态文明建设重大目标任务研究部署情况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-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有效开展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约束性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有效开展</w:t>
            </w:r>
          </w:p>
        </w:tc>
        <w:tc>
          <w:tcPr>
            <w:tcW w:w="698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有效开展</w:t>
            </w:r>
          </w:p>
        </w:tc>
        <w:tc>
          <w:tcPr>
            <w:tcW w:w="748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有效开展</w:t>
            </w:r>
          </w:p>
        </w:tc>
      </w:tr>
      <w:tr w:rsidR="00661E63" w:rsidRPr="0027642B" w:rsidTr="00661E63">
        <w:trPr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3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生态文明建设工作占党政实绩考核的比例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≥20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约束性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25</w:t>
            </w:r>
          </w:p>
        </w:tc>
        <w:tc>
          <w:tcPr>
            <w:tcW w:w="698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26</w:t>
            </w:r>
          </w:p>
        </w:tc>
        <w:tc>
          <w:tcPr>
            <w:tcW w:w="748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28</w:t>
            </w:r>
          </w:p>
        </w:tc>
      </w:tr>
      <w:tr w:rsidR="00661E63" w:rsidRPr="0027642B" w:rsidTr="00661E63">
        <w:trPr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4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河长制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-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全面实施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约束性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全面实施</w:t>
            </w:r>
          </w:p>
        </w:tc>
        <w:tc>
          <w:tcPr>
            <w:tcW w:w="698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全面实施</w:t>
            </w:r>
          </w:p>
        </w:tc>
        <w:tc>
          <w:tcPr>
            <w:tcW w:w="748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全面实施</w:t>
            </w:r>
          </w:p>
        </w:tc>
      </w:tr>
      <w:tr w:rsidR="00661E63" w:rsidRPr="0027642B" w:rsidTr="00661E63">
        <w:trPr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5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生态环境信息公开率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约束性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  <w:tc>
          <w:tcPr>
            <w:tcW w:w="698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  <w:tc>
          <w:tcPr>
            <w:tcW w:w="748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</w:tr>
      <w:tr w:rsidR="00661E63" w:rsidRPr="0027642B" w:rsidTr="00661E63">
        <w:trPr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6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依法开展规划环境影响评价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-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开展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参考性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开展</w:t>
            </w:r>
          </w:p>
        </w:tc>
        <w:tc>
          <w:tcPr>
            <w:tcW w:w="698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开展</w:t>
            </w:r>
          </w:p>
        </w:tc>
        <w:tc>
          <w:tcPr>
            <w:tcW w:w="748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开展</w:t>
            </w:r>
          </w:p>
        </w:tc>
      </w:tr>
      <w:tr w:rsidR="00661E63" w:rsidRPr="0027642B" w:rsidTr="00661E63">
        <w:trPr>
          <w:trHeight w:val="448"/>
        </w:trPr>
        <w:tc>
          <w:tcPr>
            <w:tcW w:w="342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7</w:t>
            </w:r>
          </w:p>
        </w:tc>
        <w:tc>
          <w:tcPr>
            <w:tcW w:w="211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环境空气质量</w:t>
            </w:r>
          </w:p>
        </w:tc>
        <w:tc>
          <w:tcPr>
            <w:tcW w:w="568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优良天数比例</w:t>
            </w:r>
          </w:p>
        </w:tc>
        <w:tc>
          <w:tcPr>
            <w:tcW w:w="320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完成上级规定的考核任务；保持稳定或持续改善</w:t>
            </w:r>
          </w:p>
        </w:tc>
        <w:tc>
          <w:tcPr>
            <w:tcW w:w="595" w:type="pct"/>
            <w:vMerge w:val="restar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约束性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81</w:t>
            </w:r>
          </w:p>
        </w:tc>
        <w:tc>
          <w:tcPr>
            <w:tcW w:w="698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81</w:t>
            </w:r>
          </w:p>
        </w:tc>
        <w:tc>
          <w:tcPr>
            <w:tcW w:w="748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84.1</w:t>
            </w:r>
          </w:p>
        </w:tc>
      </w:tr>
      <w:tr w:rsidR="00661E63" w:rsidRPr="0027642B" w:rsidTr="00661E63">
        <w:trPr>
          <w:trHeight w:val="90"/>
        </w:trPr>
        <w:tc>
          <w:tcPr>
            <w:tcW w:w="342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211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568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PM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  <w:vertAlign w:val="subscript"/>
              </w:rPr>
              <w:t>2.5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浓度下降幅度</w:t>
            </w:r>
          </w:p>
        </w:tc>
        <w:tc>
          <w:tcPr>
            <w:tcW w:w="320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80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595" w:type="pct"/>
            <w:vMerge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44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（较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2017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年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下降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6.4%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）</w:t>
            </w:r>
          </w:p>
        </w:tc>
        <w:tc>
          <w:tcPr>
            <w:tcW w:w="698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40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（较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2017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年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下降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14.9%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）</w:t>
            </w:r>
          </w:p>
        </w:tc>
        <w:tc>
          <w:tcPr>
            <w:tcW w:w="748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34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（较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2017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年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下降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27.7%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）</w:t>
            </w:r>
          </w:p>
        </w:tc>
      </w:tr>
      <w:tr w:rsidR="00661E63" w:rsidRPr="0027642B" w:rsidTr="00661E63">
        <w:trPr>
          <w:trHeight w:val="90"/>
        </w:trPr>
        <w:tc>
          <w:tcPr>
            <w:tcW w:w="342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8</w:t>
            </w:r>
          </w:p>
        </w:tc>
        <w:tc>
          <w:tcPr>
            <w:tcW w:w="211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水环境质量</w:t>
            </w:r>
          </w:p>
        </w:tc>
        <w:tc>
          <w:tcPr>
            <w:tcW w:w="568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水质达到或优于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Ⅲ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类比例提高幅度</w:t>
            </w:r>
          </w:p>
        </w:tc>
        <w:tc>
          <w:tcPr>
            <w:tcW w:w="320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完成上级规定的考核任务；已达标地区保持稳定，未达标地区持续改善</w:t>
            </w:r>
          </w:p>
        </w:tc>
        <w:tc>
          <w:tcPr>
            <w:tcW w:w="595" w:type="pct"/>
            <w:vMerge w:val="restar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约束性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100%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（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4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个考核断面）</w:t>
            </w:r>
          </w:p>
        </w:tc>
        <w:tc>
          <w:tcPr>
            <w:tcW w:w="698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100%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（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4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个考核断面）</w:t>
            </w:r>
          </w:p>
        </w:tc>
        <w:tc>
          <w:tcPr>
            <w:tcW w:w="748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国考：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100%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，省考：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85.7%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（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7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个考核断面）</w:t>
            </w:r>
          </w:p>
        </w:tc>
      </w:tr>
      <w:tr w:rsidR="00661E63" w:rsidRPr="0027642B" w:rsidTr="00661E63">
        <w:trPr>
          <w:trHeight w:val="90"/>
        </w:trPr>
        <w:tc>
          <w:tcPr>
            <w:tcW w:w="342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211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568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劣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V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类水体比例下降幅度</w:t>
            </w:r>
          </w:p>
        </w:tc>
        <w:tc>
          <w:tcPr>
            <w:tcW w:w="320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80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595" w:type="pct"/>
            <w:vMerge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无劣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V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类水体</w:t>
            </w:r>
          </w:p>
        </w:tc>
        <w:tc>
          <w:tcPr>
            <w:tcW w:w="698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无劣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V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类水体</w:t>
            </w:r>
          </w:p>
        </w:tc>
        <w:tc>
          <w:tcPr>
            <w:tcW w:w="748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无劣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V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类水体</w:t>
            </w:r>
          </w:p>
        </w:tc>
      </w:tr>
      <w:tr w:rsidR="00661E63" w:rsidRPr="0027642B" w:rsidTr="00661E63">
        <w:trPr>
          <w:trHeight w:val="90"/>
        </w:trPr>
        <w:tc>
          <w:tcPr>
            <w:tcW w:w="342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211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568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黑臭水体消除比例</w:t>
            </w:r>
          </w:p>
        </w:tc>
        <w:tc>
          <w:tcPr>
            <w:tcW w:w="320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80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595" w:type="pct"/>
            <w:vMerge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  <w:tc>
          <w:tcPr>
            <w:tcW w:w="698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  <w:tc>
          <w:tcPr>
            <w:tcW w:w="748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</w:tr>
      <w:tr w:rsidR="00661E63" w:rsidRPr="0027642B" w:rsidTr="00661E63">
        <w:trPr>
          <w:gridAfter w:val="1"/>
          <w:wAfter w:w="5" w:type="pct"/>
          <w:trHeight w:val="382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9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近岸海域水质优良（一、二类）比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完成上级规定的考核任务；保持稳定或持续改善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约束性</w:t>
            </w:r>
          </w:p>
        </w:tc>
        <w:tc>
          <w:tcPr>
            <w:tcW w:w="2179" w:type="pct"/>
            <w:gridSpan w:val="6"/>
            <w:vAlign w:val="center"/>
          </w:tcPr>
          <w:p w:rsidR="0027642B" w:rsidRPr="0027642B" w:rsidRDefault="0027642B" w:rsidP="00547CC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不涉及</w:t>
            </w:r>
          </w:p>
        </w:tc>
      </w:tr>
      <w:tr w:rsidR="00661E63" w:rsidRPr="0027642B" w:rsidTr="00661E63">
        <w:trPr>
          <w:gridAfter w:val="1"/>
          <w:wAfter w:w="5" w:type="pct"/>
          <w:trHeight w:val="382"/>
        </w:trPr>
        <w:tc>
          <w:tcPr>
            <w:tcW w:w="342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</w:t>
            </w:r>
          </w:p>
        </w:tc>
        <w:tc>
          <w:tcPr>
            <w:tcW w:w="211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生态环境状况指数</w:t>
            </w:r>
          </w:p>
        </w:tc>
        <w:tc>
          <w:tcPr>
            <w:tcW w:w="568" w:type="pct"/>
            <w:gridSpan w:val="2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干旱半干旱地区</w:t>
            </w:r>
          </w:p>
        </w:tc>
        <w:tc>
          <w:tcPr>
            <w:tcW w:w="320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-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≥35</w:t>
            </w:r>
          </w:p>
        </w:tc>
        <w:tc>
          <w:tcPr>
            <w:tcW w:w="595" w:type="pct"/>
            <w:vMerge w:val="restar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约束性</w:t>
            </w:r>
          </w:p>
        </w:tc>
        <w:tc>
          <w:tcPr>
            <w:tcW w:w="738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67.1</w:t>
            </w:r>
          </w:p>
        </w:tc>
        <w:tc>
          <w:tcPr>
            <w:tcW w:w="689" w:type="pct"/>
            <w:gridSpan w:val="2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66.8</w:t>
            </w:r>
          </w:p>
        </w:tc>
        <w:tc>
          <w:tcPr>
            <w:tcW w:w="752" w:type="pct"/>
            <w:gridSpan w:val="3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68.1</w:t>
            </w:r>
          </w:p>
        </w:tc>
      </w:tr>
      <w:tr w:rsidR="00661E63" w:rsidRPr="0027642B" w:rsidTr="00661E63">
        <w:trPr>
          <w:gridAfter w:val="1"/>
          <w:wAfter w:w="5" w:type="pct"/>
          <w:trHeight w:val="418"/>
        </w:trPr>
        <w:tc>
          <w:tcPr>
            <w:tcW w:w="342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211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568" w:type="pct"/>
            <w:gridSpan w:val="2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半湿润地区</w:t>
            </w:r>
          </w:p>
        </w:tc>
        <w:tc>
          <w:tcPr>
            <w:tcW w:w="320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≥55</w:t>
            </w:r>
          </w:p>
        </w:tc>
        <w:tc>
          <w:tcPr>
            <w:tcW w:w="595" w:type="pct"/>
            <w:vMerge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38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689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52" w:type="pct"/>
            <w:gridSpan w:val="3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</w:tr>
      <w:tr w:rsidR="00661E63" w:rsidRPr="0027642B" w:rsidTr="00661E63">
        <w:trPr>
          <w:gridAfter w:val="1"/>
          <w:wAfter w:w="5" w:type="pct"/>
          <w:trHeight w:val="396"/>
        </w:trPr>
        <w:tc>
          <w:tcPr>
            <w:tcW w:w="342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211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568" w:type="pct"/>
            <w:gridSpan w:val="2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湿润地区</w:t>
            </w:r>
          </w:p>
        </w:tc>
        <w:tc>
          <w:tcPr>
            <w:tcW w:w="320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≥60</w:t>
            </w:r>
          </w:p>
        </w:tc>
        <w:tc>
          <w:tcPr>
            <w:tcW w:w="595" w:type="pct"/>
            <w:vMerge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38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689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52" w:type="pct"/>
            <w:gridSpan w:val="3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11</w:t>
            </w:r>
          </w:p>
        </w:tc>
        <w:tc>
          <w:tcPr>
            <w:tcW w:w="211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林草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lastRenderedPageBreak/>
              <w:t>覆盖率</w:t>
            </w:r>
          </w:p>
        </w:tc>
        <w:tc>
          <w:tcPr>
            <w:tcW w:w="568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lastRenderedPageBreak/>
              <w:t>山区</w:t>
            </w:r>
          </w:p>
        </w:tc>
        <w:tc>
          <w:tcPr>
            <w:tcW w:w="320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≥60</w:t>
            </w:r>
          </w:p>
        </w:tc>
        <w:tc>
          <w:tcPr>
            <w:tcW w:w="595" w:type="pct"/>
            <w:vMerge w:val="restar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参考性</w:t>
            </w:r>
          </w:p>
        </w:tc>
        <w:tc>
          <w:tcPr>
            <w:tcW w:w="738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26.72</w:t>
            </w:r>
          </w:p>
        </w:tc>
        <w:tc>
          <w:tcPr>
            <w:tcW w:w="689" w:type="pct"/>
            <w:gridSpan w:val="2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hint="eastAsia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25.01</w:t>
            </w:r>
          </w:p>
          <w:p w:rsidR="00661E63" w:rsidRPr="00661E63" w:rsidRDefault="00661E63" w:rsidP="00661E63">
            <w:pPr>
              <w:pStyle w:val="Default"/>
            </w:pPr>
          </w:p>
          <w:p w:rsidR="0027642B" w:rsidRPr="0027642B" w:rsidRDefault="0027642B" w:rsidP="00661E63">
            <w:pPr>
              <w:widowControl/>
              <w:adjustRightInd w:val="0"/>
              <w:snapToGrid w:val="0"/>
              <w:ind w:leftChars="-72" w:left="-151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lastRenderedPageBreak/>
              <w:t>（基本农田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内的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林木不再统计入内）</w:t>
            </w:r>
          </w:p>
        </w:tc>
        <w:tc>
          <w:tcPr>
            <w:tcW w:w="752" w:type="pct"/>
            <w:gridSpan w:val="3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lastRenderedPageBreak/>
              <w:t>25.31</w:t>
            </w:r>
          </w:p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（基本农田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lastRenderedPageBreak/>
              <w:t>内林木不再</w:t>
            </w:r>
          </w:p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统计入内）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211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568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丘陵地区</w:t>
            </w:r>
          </w:p>
        </w:tc>
        <w:tc>
          <w:tcPr>
            <w:tcW w:w="320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≥40</w:t>
            </w:r>
          </w:p>
        </w:tc>
        <w:tc>
          <w:tcPr>
            <w:tcW w:w="595" w:type="pct"/>
            <w:vMerge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38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689" w:type="pct"/>
            <w:gridSpan w:val="2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52" w:type="pct"/>
            <w:gridSpan w:val="3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211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568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平原地区</w:t>
            </w:r>
          </w:p>
        </w:tc>
        <w:tc>
          <w:tcPr>
            <w:tcW w:w="320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≥18</w:t>
            </w:r>
          </w:p>
        </w:tc>
        <w:tc>
          <w:tcPr>
            <w:tcW w:w="595" w:type="pct"/>
            <w:vMerge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38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689" w:type="pct"/>
            <w:gridSpan w:val="2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52" w:type="pct"/>
            <w:gridSpan w:val="3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</w:tr>
      <w:tr w:rsidR="00661E63" w:rsidRPr="0027642B" w:rsidTr="00661E63">
        <w:trPr>
          <w:gridAfter w:val="1"/>
          <w:wAfter w:w="5" w:type="pct"/>
          <w:trHeight w:val="270"/>
        </w:trPr>
        <w:tc>
          <w:tcPr>
            <w:tcW w:w="342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211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568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干旱半干旱地区</w:t>
            </w:r>
          </w:p>
        </w:tc>
        <w:tc>
          <w:tcPr>
            <w:tcW w:w="320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≥35</w:t>
            </w:r>
          </w:p>
        </w:tc>
        <w:tc>
          <w:tcPr>
            <w:tcW w:w="595" w:type="pct"/>
            <w:vMerge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38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689" w:type="pct"/>
            <w:gridSpan w:val="2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52" w:type="pct"/>
            <w:gridSpan w:val="3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</w:tr>
      <w:tr w:rsidR="00661E63" w:rsidRPr="0027642B" w:rsidTr="00661E63">
        <w:trPr>
          <w:gridAfter w:val="1"/>
          <w:wAfter w:w="5" w:type="pct"/>
          <w:trHeight w:val="417"/>
        </w:trPr>
        <w:tc>
          <w:tcPr>
            <w:tcW w:w="342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211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568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青藏高原地区</w:t>
            </w:r>
          </w:p>
        </w:tc>
        <w:tc>
          <w:tcPr>
            <w:tcW w:w="320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≥70</w:t>
            </w:r>
          </w:p>
        </w:tc>
        <w:tc>
          <w:tcPr>
            <w:tcW w:w="595" w:type="pct"/>
            <w:vMerge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38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689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52" w:type="pct"/>
            <w:gridSpan w:val="3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</w:tr>
      <w:tr w:rsidR="0027642B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12</w:t>
            </w:r>
          </w:p>
        </w:tc>
        <w:tc>
          <w:tcPr>
            <w:tcW w:w="211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生物多样性保护</w:t>
            </w:r>
          </w:p>
        </w:tc>
        <w:tc>
          <w:tcPr>
            <w:tcW w:w="568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国家重点保护野生动植物保护率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≥95</w:t>
            </w:r>
          </w:p>
        </w:tc>
        <w:tc>
          <w:tcPr>
            <w:tcW w:w="595" w:type="pct"/>
            <w:vMerge w:val="restar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参考性</w:t>
            </w:r>
          </w:p>
        </w:tc>
        <w:tc>
          <w:tcPr>
            <w:tcW w:w="738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100</w:t>
            </w:r>
          </w:p>
        </w:tc>
        <w:tc>
          <w:tcPr>
            <w:tcW w:w="689" w:type="pct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100</w:t>
            </w:r>
          </w:p>
        </w:tc>
        <w:tc>
          <w:tcPr>
            <w:tcW w:w="752" w:type="pct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100</w:t>
            </w:r>
          </w:p>
        </w:tc>
      </w:tr>
      <w:tr w:rsidR="0027642B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211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568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外来物种入侵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-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不明显</w:t>
            </w:r>
          </w:p>
        </w:tc>
        <w:tc>
          <w:tcPr>
            <w:tcW w:w="595" w:type="pct"/>
            <w:vMerge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不明显</w:t>
            </w:r>
          </w:p>
        </w:tc>
        <w:tc>
          <w:tcPr>
            <w:tcW w:w="689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不明显</w:t>
            </w:r>
          </w:p>
        </w:tc>
        <w:tc>
          <w:tcPr>
            <w:tcW w:w="752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不明显</w:t>
            </w:r>
          </w:p>
        </w:tc>
      </w:tr>
      <w:tr w:rsidR="0027642B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211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568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特有性或指示性水生物</w:t>
            </w:r>
            <w:proofErr w:type="gramStart"/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种保持</w:t>
            </w:r>
            <w:proofErr w:type="gramEnd"/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率</w:t>
            </w:r>
          </w:p>
        </w:tc>
        <w:tc>
          <w:tcPr>
            <w:tcW w:w="320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不降低</w:t>
            </w:r>
          </w:p>
        </w:tc>
        <w:tc>
          <w:tcPr>
            <w:tcW w:w="595" w:type="pct"/>
            <w:vMerge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不降低</w:t>
            </w:r>
          </w:p>
        </w:tc>
        <w:tc>
          <w:tcPr>
            <w:tcW w:w="689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不降低</w:t>
            </w:r>
          </w:p>
        </w:tc>
        <w:tc>
          <w:tcPr>
            <w:tcW w:w="752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不降低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13</w:t>
            </w:r>
          </w:p>
        </w:tc>
        <w:tc>
          <w:tcPr>
            <w:tcW w:w="211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海岸生态修复</w:t>
            </w:r>
          </w:p>
        </w:tc>
        <w:tc>
          <w:tcPr>
            <w:tcW w:w="568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自然岸线修复长度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公里</w:t>
            </w:r>
          </w:p>
        </w:tc>
        <w:tc>
          <w:tcPr>
            <w:tcW w:w="780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完成上级管</w:t>
            </w:r>
            <w:proofErr w:type="gramStart"/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控目标</w:t>
            </w:r>
            <w:proofErr w:type="gramEnd"/>
          </w:p>
        </w:tc>
        <w:tc>
          <w:tcPr>
            <w:tcW w:w="595" w:type="pct"/>
            <w:vMerge w:val="restar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参考性</w:t>
            </w:r>
          </w:p>
        </w:tc>
        <w:tc>
          <w:tcPr>
            <w:tcW w:w="738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完成上级考核目标</w:t>
            </w:r>
          </w:p>
        </w:tc>
        <w:tc>
          <w:tcPr>
            <w:tcW w:w="689" w:type="pct"/>
            <w:gridSpan w:val="2"/>
            <w:vAlign w:val="center"/>
          </w:tcPr>
          <w:p w:rsidR="0027642B" w:rsidRPr="0027642B" w:rsidRDefault="0027642B" w:rsidP="00547CC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完成上级考核目标</w:t>
            </w:r>
          </w:p>
        </w:tc>
        <w:tc>
          <w:tcPr>
            <w:tcW w:w="752" w:type="pct"/>
            <w:gridSpan w:val="3"/>
            <w:vAlign w:val="center"/>
          </w:tcPr>
          <w:p w:rsidR="0027642B" w:rsidRPr="0027642B" w:rsidRDefault="0027642B" w:rsidP="00547CC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完成上级考核目标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211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568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滨海湿地修复面积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公顷</w:t>
            </w:r>
          </w:p>
        </w:tc>
        <w:tc>
          <w:tcPr>
            <w:tcW w:w="780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595" w:type="pct"/>
            <w:vMerge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38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完成上级考核目标</w:t>
            </w:r>
          </w:p>
        </w:tc>
        <w:tc>
          <w:tcPr>
            <w:tcW w:w="689" w:type="pct"/>
            <w:gridSpan w:val="2"/>
            <w:vAlign w:val="center"/>
          </w:tcPr>
          <w:p w:rsidR="0027642B" w:rsidRPr="0027642B" w:rsidRDefault="0027642B" w:rsidP="00547CC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完成上级考核目标</w:t>
            </w:r>
          </w:p>
        </w:tc>
        <w:tc>
          <w:tcPr>
            <w:tcW w:w="752" w:type="pct"/>
            <w:gridSpan w:val="3"/>
            <w:vAlign w:val="center"/>
          </w:tcPr>
          <w:p w:rsidR="0027642B" w:rsidRPr="0027642B" w:rsidRDefault="0027642B" w:rsidP="00547CC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完成上级考核目标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14</w:t>
            </w:r>
          </w:p>
        </w:tc>
        <w:tc>
          <w:tcPr>
            <w:tcW w:w="779" w:type="pct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危险废物利用处置率</w:t>
            </w:r>
          </w:p>
        </w:tc>
        <w:tc>
          <w:tcPr>
            <w:tcW w:w="320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约束性</w:t>
            </w:r>
          </w:p>
        </w:tc>
        <w:tc>
          <w:tcPr>
            <w:tcW w:w="738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  <w:tc>
          <w:tcPr>
            <w:tcW w:w="689" w:type="pct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  <w:tc>
          <w:tcPr>
            <w:tcW w:w="752" w:type="pct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15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建设用地土壤污染风险管控和修复名录制度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-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建立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参考性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建立</w:t>
            </w:r>
          </w:p>
        </w:tc>
        <w:tc>
          <w:tcPr>
            <w:tcW w:w="689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建立</w:t>
            </w:r>
          </w:p>
        </w:tc>
        <w:tc>
          <w:tcPr>
            <w:tcW w:w="752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建立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16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突发生态环境事件应急管理机制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-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建立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约束性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建立</w:t>
            </w:r>
          </w:p>
        </w:tc>
        <w:tc>
          <w:tcPr>
            <w:tcW w:w="689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建立</w:t>
            </w:r>
          </w:p>
        </w:tc>
        <w:tc>
          <w:tcPr>
            <w:tcW w:w="752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建立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17</w:t>
            </w:r>
          </w:p>
        </w:tc>
        <w:tc>
          <w:tcPr>
            <w:tcW w:w="211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自然生态空间</w:t>
            </w:r>
          </w:p>
        </w:tc>
        <w:tc>
          <w:tcPr>
            <w:tcW w:w="568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生态保护红线</w:t>
            </w:r>
          </w:p>
        </w:tc>
        <w:tc>
          <w:tcPr>
            <w:tcW w:w="320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-</w:t>
            </w:r>
          </w:p>
        </w:tc>
        <w:tc>
          <w:tcPr>
            <w:tcW w:w="780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面积不减少，性质不改变，功能不降低</w:t>
            </w:r>
          </w:p>
        </w:tc>
        <w:tc>
          <w:tcPr>
            <w:tcW w:w="595" w:type="pct"/>
            <w:vMerge w:val="restar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约束性</w:t>
            </w:r>
          </w:p>
        </w:tc>
        <w:tc>
          <w:tcPr>
            <w:tcW w:w="738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面积不减少，性质不改变，功能不降低</w:t>
            </w:r>
          </w:p>
        </w:tc>
        <w:tc>
          <w:tcPr>
            <w:tcW w:w="689" w:type="pct"/>
            <w:gridSpan w:val="2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面积不减少，性质不改变，功能不降低</w:t>
            </w:r>
          </w:p>
        </w:tc>
        <w:tc>
          <w:tcPr>
            <w:tcW w:w="752" w:type="pct"/>
            <w:gridSpan w:val="3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面积不减少，性质不改变，功能不降低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211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568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自然保护地</w:t>
            </w:r>
          </w:p>
        </w:tc>
        <w:tc>
          <w:tcPr>
            <w:tcW w:w="320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80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595" w:type="pct"/>
            <w:vMerge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38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689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52" w:type="pct"/>
            <w:gridSpan w:val="3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18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自然岸线保有率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完成上级管</w:t>
            </w:r>
            <w:proofErr w:type="gramStart"/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控目标</w:t>
            </w:r>
            <w:proofErr w:type="gramEnd"/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约束性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37.88</w:t>
            </w:r>
          </w:p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（考核目标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35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）</w:t>
            </w:r>
          </w:p>
        </w:tc>
        <w:tc>
          <w:tcPr>
            <w:tcW w:w="689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37.88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（考核目标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35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）</w:t>
            </w:r>
          </w:p>
        </w:tc>
        <w:tc>
          <w:tcPr>
            <w:tcW w:w="752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37.88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（考核目标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35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）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19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河湖岸线保护率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完成上级管</w:t>
            </w:r>
            <w:proofErr w:type="gramStart"/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控目标</w:t>
            </w:r>
            <w:proofErr w:type="gramEnd"/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参考性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完成上级考核目标</w:t>
            </w:r>
          </w:p>
        </w:tc>
        <w:tc>
          <w:tcPr>
            <w:tcW w:w="689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完成上级考核目标</w:t>
            </w:r>
          </w:p>
        </w:tc>
        <w:tc>
          <w:tcPr>
            <w:tcW w:w="752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完成上级考核目标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20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单位地区生产总值能耗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吨标准煤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/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万元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完成上级规定的目标任务；保持稳定或持续改善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约束性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单位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GDP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能耗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下降率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2.20%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（目标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1.7%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）</w:t>
            </w:r>
          </w:p>
        </w:tc>
        <w:tc>
          <w:tcPr>
            <w:tcW w:w="689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单位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GDP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能耗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下降率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2.61%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（目标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1.7%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）</w:t>
            </w:r>
          </w:p>
        </w:tc>
        <w:tc>
          <w:tcPr>
            <w:tcW w:w="752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单位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GDP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能耗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下降率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3.12%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（目标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3.05%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）</w:t>
            </w:r>
          </w:p>
        </w:tc>
      </w:tr>
      <w:tr w:rsidR="00661E63" w:rsidRPr="0027642B" w:rsidTr="00661E63">
        <w:trPr>
          <w:gridAfter w:val="1"/>
          <w:wAfter w:w="5" w:type="pct"/>
          <w:trHeight w:val="457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21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单位地区生产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lastRenderedPageBreak/>
              <w:t>总值用水量（单位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GDP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用水量下降率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）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lastRenderedPageBreak/>
              <w:t>立方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lastRenderedPageBreak/>
              <w:t>米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/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万元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lastRenderedPageBreak/>
              <w:t>完成上级规定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lastRenderedPageBreak/>
              <w:t>的目标任务；保持稳定或持续改善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lastRenderedPageBreak/>
              <w:t>约束性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hint="eastAsia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1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、单位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GDP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lastRenderedPageBreak/>
              <w:t>用水量下降率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27.19%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（考核目标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22.4%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）</w:t>
            </w:r>
          </w:p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2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、用水总量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4.21</w:t>
            </w:r>
            <w:r w:rsidRPr="0027642B">
              <w:rPr>
                <w:rFonts w:ascii="Times New Roman" w:eastAsia="仿宋_GB2312" w:hAnsi="Times New Roman"/>
                <w:b/>
                <w:szCs w:val="24"/>
              </w:rPr>
              <w:t>亿</w:t>
            </w:r>
            <w:r w:rsidRPr="0027642B">
              <w:rPr>
                <w:rFonts w:ascii="Times New Roman" w:eastAsia="仿宋_GB2312" w:hAnsi="Times New Roman"/>
                <w:b/>
                <w:szCs w:val="24"/>
              </w:rPr>
              <w:t>m</w:t>
            </w:r>
            <w:r w:rsidRPr="0027642B">
              <w:rPr>
                <w:rFonts w:ascii="Times New Roman" w:eastAsia="仿宋_GB2312" w:hAnsi="Times New Roman"/>
                <w:b/>
                <w:szCs w:val="24"/>
                <w:vertAlign w:val="superscript"/>
              </w:rPr>
              <w:t>3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（目标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4.39</w:t>
            </w:r>
            <w:r w:rsidRPr="0027642B">
              <w:rPr>
                <w:rFonts w:ascii="Times New Roman" w:eastAsia="仿宋_GB2312" w:hAnsi="Times New Roman"/>
                <w:b/>
                <w:szCs w:val="24"/>
              </w:rPr>
              <w:t>亿</w:t>
            </w:r>
            <w:r w:rsidRPr="0027642B">
              <w:rPr>
                <w:rFonts w:ascii="Times New Roman" w:eastAsia="仿宋_GB2312" w:hAnsi="Times New Roman"/>
                <w:b/>
                <w:szCs w:val="24"/>
              </w:rPr>
              <w:t>m</w:t>
            </w:r>
            <w:r w:rsidRPr="0027642B">
              <w:rPr>
                <w:rFonts w:ascii="Times New Roman" w:eastAsia="仿宋_GB2312" w:hAnsi="Times New Roman"/>
                <w:b/>
                <w:szCs w:val="24"/>
                <w:vertAlign w:val="superscript"/>
              </w:rPr>
              <w:t>3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）</w:t>
            </w:r>
          </w:p>
        </w:tc>
        <w:tc>
          <w:tcPr>
            <w:tcW w:w="689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hint="eastAsia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lastRenderedPageBreak/>
              <w:t>1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、单位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GDP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lastRenderedPageBreak/>
              <w:t>用水量下降率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30.66%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（考核目标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28%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）</w:t>
            </w:r>
          </w:p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用水总量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4.17</w:t>
            </w:r>
            <w:r w:rsidRPr="0027642B">
              <w:rPr>
                <w:rFonts w:ascii="Times New Roman" w:eastAsia="仿宋_GB2312" w:hAnsi="Times New Roman"/>
                <w:b/>
                <w:szCs w:val="24"/>
              </w:rPr>
              <w:t>亿</w:t>
            </w:r>
            <w:r w:rsidRPr="0027642B">
              <w:rPr>
                <w:rFonts w:ascii="Times New Roman" w:eastAsia="仿宋_GB2312" w:hAnsi="Times New Roman"/>
                <w:b/>
                <w:szCs w:val="24"/>
              </w:rPr>
              <w:t>m</w:t>
            </w:r>
            <w:r w:rsidRPr="0027642B">
              <w:rPr>
                <w:rFonts w:ascii="Times New Roman" w:eastAsia="仿宋_GB2312" w:hAnsi="Times New Roman"/>
                <w:b/>
                <w:szCs w:val="24"/>
                <w:vertAlign w:val="superscript"/>
              </w:rPr>
              <w:t>3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（目标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4.3</w:t>
            </w:r>
            <w:r w:rsidRPr="0027642B">
              <w:rPr>
                <w:rFonts w:ascii="Times New Roman" w:eastAsia="仿宋_GB2312" w:hAnsi="Times New Roman"/>
                <w:b/>
                <w:szCs w:val="24"/>
              </w:rPr>
              <w:t>亿</w:t>
            </w:r>
            <w:r w:rsidRPr="0027642B">
              <w:rPr>
                <w:rFonts w:ascii="Times New Roman" w:eastAsia="仿宋_GB2312" w:hAnsi="Times New Roman"/>
                <w:b/>
                <w:szCs w:val="24"/>
              </w:rPr>
              <w:t>m</w:t>
            </w:r>
            <w:r w:rsidRPr="0027642B">
              <w:rPr>
                <w:rFonts w:ascii="Times New Roman" w:eastAsia="仿宋_GB2312" w:hAnsi="Times New Roman"/>
                <w:b/>
                <w:szCs w:val="24"/>
                <w:vertAlign w:val="superscript"/>
              </w:rPr>
              <w:t>3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）</w:t>
            </w:r>
          </w:p>
        </w:tc>
        <w:tc>
          <w:tcPr>
            <w:tcW w:w="752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lastRenderedPageBreak/>
              <w:t>用水总量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lastRenderedPageBreak/>
              <w:t>4.16</w:t>
            </w:r>
            <w:r w:rsidRPr="0027642B">
              <w:rPr>
                <w:rFonts w:ascii="Times New Roman" w:eastAsia="仿宋_GB2312" w:hAnsi="Times New Roman"/>
                <w:b/>
                <w:szCs w:val="24"/>
              </w:rPr>
              <w:t>亿</w:t>
            </w:r>
            <w:r w:rsidRPr="0027642B">
              <w:rPr>
                <w:rFonts w:ascii="Times New Roman" w:eastAsia="仿宋_GB2312" w:hAnsi="Times New Roman"/>
                <w:b/>
                <w:szCs w:val="24"/>
              </w:rPr>
              <w:t>m</w:t>
            </w:r>
            <w:r w:rsidRPr="0027642B">
              <w:rPr>
                <w:rFonts w:ascii="Times New Roman" w:eastAsia="仿宋_GB2312" w:hAnsi="Times New Roman"/>
                <w:b/>
                <w:szCs w:val="24"/>
                <w:vertAlign w:val="superscript"/>
              </w:rPr>
              <w:t>3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（目标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4.29</w:t>
            </w:r>
            <w:r w:rsidRPr="0027642B">
              <w:rPr>
                <w:rFonts w:ascii="Times New Roman" w:eastAsia="仿宋_GB2312" w:hAnsi="Times New Roman"/>
                <w:b/>
                <w:szCs w:val="24"/>
              </w:rPr>
              <w:t>亿</w:t>
            </w:r>
            <w:r w:rsidRPr="0027642B">
              <w:rPr>
                <w:rFonts w:ascii="Times New Roman" w:eastAsia="仿宋_GB2312" w:hAnsi="Times New Roman"/>
                <w:b/>
                <w:szCs w:val="24"/>
              </w:rPr>
              <w:t>m</w:t>
            </w:r>
            <w:r w:rsidRPr="0027642B">
              <w:rPr>
                <w:rFonts w:ascii="Times New Roman" w:eastAsia="仿宋_GB2312" w:hAnsi="Times New Roman"/>
                <w:b/>
                <w:szCs w:val="24"/>
                <w:vertAlign w:val="superscript"/>
              </w:rPr>
              <w:t>3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）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lastRenderedPageBreak/>
              <w:t>22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单位国内生产总值建设用地使用面积下降率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≥4.5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参考性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4.58</w:t>
            </w:r>
          </w:p>
        </w:tc>
        <w:tc>
          <w:tcPr>
            <w:tcW w:w="689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4.65</w:t>
            </w:r>
          </w:p>
        </w:tc>
        <w:tc>
          <w:tcPr>
            <w:tcW w:w="752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5.18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23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碳排放强度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吨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/</w:t>
            </w: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万元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完成上级管</w:t>
            </w:r>
            <w:proofErr w:type="gramStart"/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控目标</w:t>
            </w:r>
            <w:proofErr w:type="gramEnd"/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约束性</w:t>
            </w:r>
          </w:p>
        </w:tc>
        <w:tc>
          <w:tcPr>
            <w:tcW w:w="2179" w:type="pct"/>
            <w:gridSpan w:val="6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不涉及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24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应当实施强制性清洁生产企业通过审核的比例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完成年度审核计划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参考性</w:t>
            </w:r>
          </w:p>
        </w:tc>
        <w:tc>
          <w:tcPr>
            <w:tcW w:w="2179" w:type="pct"/>
            <w:gridSpan w:val="6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不涉及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25</w:t>
            </w:r>
          </w:p>
        </w:tc>
        <w:tc>
          <w:tcPr>
            <w:tcW w:w="430" w:type="pct"/>
            <w:gridSpan w:val="2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三大粮食作物化肥农药利用率</w:t>
            </w:r>
          </w:p>
        </w:tc>
        <w:tc>
          <w:tcPr>
            <w:tcW w:w="349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化肥利用率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≥43</w:t>
            </w:r>
          </w:p>
        </w:tc>
        <w:tc>
          <w:tcPr>
            <w:tcW w:w="595" w:type="pct"/>
            <w:vMerge w:val="restar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参考性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43.01</w:t>
            </w:r>
          </w:p>
        </w:tc>
        <w:tc>
          <w:tcPr>
            <w:tcW w:w="708" w:type="pct"/>
            <w:gridSpan w:val="4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43.11</w:t>
            </w:r>
          </w:p>
        </w:tc>
        <w:tc>
          <w:tcPr>
            <w:tcW w:w="733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43.17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43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农药利用率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≥43</w:t>
            </w:r>
          </w:p>
        </w:tc>
        <w:tc>
          <w:tcPr>
            <w:tcW w:w="595" w:type="pct"/>
            <w:vMerge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43.0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2</w:t>
            </w:r>
          </w:p>
        </w:tc>
        <w:tc>
          <w:tcPr>
            <w:tcW w:w="708" w:type="pct"/>
            <w:gridSpan w:val="4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43.3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1</w:t>
            </w:r>
          </w:p>
        </w:tc>
        <w:tc>
          <w:tcPr>
            <w:tcW w:w="733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43.6</w:t>
            </w:r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0</w:t>
            </w:r>
          </w:p>
        </w:tc>
      </w:tr>
      <w:tr w:rsidR="00661E63" w:rsidRPr="0027642B" w:rsidTr="00661E63">
        <w:trPr>
          <w:gridAfter w:val="1"/>
          <w:wAfter w:w="5" w:type="pct"/>
          <w:trHeight w:val="490"/>
        </w:trPr>
        <w:tc>
          <w:tcPr>
            <w:tcW w:w="342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26</w:t>
            </w:r>
          </w:p>
        </w:tc>
        <w:tc>
          <w:tcPr>
            <w:tcW w:w="430" w:type="pct"/>
            <w:gridSpan w:val="2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农业废弃物综合利用率</w:t>
            </w:r>
          </w:p>
        </w:tc>
        <w:tc>
          <w:tcPr>
            <w:tcW w:w="349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秸秆综合利用率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≥90</w:t>
            </w:r>
          </w:p>
        </w:tc>
        <w:tc>
          <w:tcPr>
            <w:tcW w:w="595" w:type="pct"/>
            <w:vMerge w:val="restar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参考性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96.09</w:t>
            </w:r>
          </w:p>
        </w:tc>
        <w:tc>
          <w:tcPr>
            <w:tcW w:w="708" w:type="pct"/>
            <w:gridSpan w:val="4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97.03</w:t>
            </w:r>
          </w:p>
        </w:tc>
        <w:tc>
          <w:tcPr>
            <w:tcW w:w="733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97.37</w:t>
            </w:r>
          </w:p>
        </w:tc>
      </w:tr>
      <w:tr w:rsidR="00661E63" w:rsidRPr="0027642B" w:rsidTr="00661E63">
        <w:trPr>
          <w:gridAfter w:val="1"/>
          <w:wAfter w:w="5" w:type="pct"/>
          <w:trHeight w:val="553"/>
        </w:trPr>
        <w:tc>
          <w:tcPr>
            <w:tcW w:w="342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43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349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畜禽粪污综合利用率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≥75</w:t>
            </w:r>
          </w:p>
        </w:tc>
        <w:tc>
          <w:tcPr>
            <w:tcW w:w="595" w:type="pct"/>
            <w:vMerge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89.24</w:t>
            </w:r>
          </w:p>
        </w:tc>
        <w:tc>
          <w:tcPr>
            <w:tcW w:w="708" w:type="pct"/>
            <w:gridSpan w:val="4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97.52</w:t>
            </w:r>
          </w:p>
        </w:tc>
        <w:tc>
          <w:tcPr>
            <w:tcW w:w="733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98.48</w:t>
            </w:r>
          </w:p>
        </w:tc>
      </w:tr>
      <w:tr w:rsidR="00661E63" w:rsidRPr="0027642B" w:rsidTr="00661E63">
        <w:trPr>
          <w:gridAfter w:val="1"/>
          <w:wAfter w:w="5" w:type="pct"/>
          <w:trHeight w:val="424"/>
        </w:trPr>
        <w:tc>
          <w:tcPr>
            <w:tcW w:w="342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43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349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农膜回收利用率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≥80</w:t>
            </w:r>
          </w:p>
        </w:tc>
        <w:tc>
          <w:tcPr>
            <w:tcW w:w="595" w:type="pct"/>
            <w:vMerge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88.3</w:t>
            </w:r>
          </w:p>
        </w:tc>
        <w:tc>
          <w:tcPr>
            <w:tcW w:w="708" w:type="pct"/>
            <w:gridSpan w:val="4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89.6</w:t>
            </w:r>
          </w:p>
        </w:tc>
        <w:tc>
          <w:tcPr>
            <w:tcW w:w="733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90.3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27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一般工业固体废物综合利用率提高幅度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保持稳定或持续改善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参考性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0.01</w:t>
            </w:r>
          </w:p>
        </w:tc>
        <w:tc>
          <w:tcPr>
            <w:tcW w:w="708" w:type="pct"/>
            <w:gridSpan w:val="4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0.01</w:t>
            </w:r>
          </w:p>
        </w:tc>
        <w:tc>
          <w:tcPr>
            <w:tcW w:w="733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0.01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28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集中式饮用水水源地水质优良比例（</w:t>
            </w:r>
            <w:proofErr w:type="gramStart"/>
            <w:r w:rsidRPr="0027642B">
              <w:rPr>
                <w:rFonts w:ascii="Times New Roman" w:eastAsia="仿宋_GB2312" w:hAnsi="Times New Roman" w:hint="eastAsia"/>
                <w:kern w:val="0"/>
                <w:szCs w:val="24"/>
              </w:rPr>
              <w:t>硕项湖</w:t>
            </w:r>
            <w:proofErr w:type="gramEnd"/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）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约束性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  <w:tc>
          <w:tcPr>
            <w:tcW w:w="708" w:type="pct"/>
            <w:gridSpan w:val="4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  <w:tc>
          <w:tcPr>
            <w:tcW w:w="733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29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村镇饮用水卫生合格率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约束性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  <w:tc>
          <w:tcPr>
            <w:tcW w:w="708" w:type="pct"/>
            <w:gridSpan w:val="4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  <w:tc>
          <w:tcPr>
            <w:tcW w:w="733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lastRenderedPageBreak/>
              <w:t>30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城镇污水处理率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≥85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约束性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86.35</w:t>
            </w:r>
          </w:p>
        </w:tc>
        <w:tc>
          <w:tcPr>
            <w:tcW w:w="708" w:type="pct"/>
            <w:gridSpan w:val="4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87.96</w:t>
            </w:r>
          </w:p>
        </w:tc>
        <w:tc>
          <w:tcPr>
            <w:tcW w:w="733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89.65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31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农村生活污水治理率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≥50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参考性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51.06</w:t>
            </w:r>
          </w:p>
        </w:tc>
        <w:tc>
          <w:tcPr>
            <w:tcW w:w="708" w:type="pct"/>
            <w:gridSpan w:val="4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53.62</w:t>
            </w:r>
          </w:p>
        </w:tc>
        <w:tc>
          <w:tcPr>
            <w:tcW w:w="733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57.45</w:t>
            </w:r>
          </w:p>
        </w:tc>
      </w:tr>
      <w:tr w:rsidR="00661E63" w:rsidRPr="0027642B" w:rsidTr="00661E63">
        <w:trPr>
          <w:gridAfter w:val="1"/>
          <w:wAfter w:w="5" w:type="pct"/>
          <w:trHeight w:val="532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32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城镇生活垃圾无害化处理率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≥80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约束性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  <w:tc>
          <w:tcPr>
            <w:tcW w:w="708" w:type="pct"/>
            <w:gridSpan w:val="4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  <w:tc>
          <w:tcPr>
            <w:tcW w:w="733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33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农村生活垃圾无害化处理村占比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≥80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参考性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  <w:tc>
          <w:tcPr>
            <w:tcW w:w="708" w:type="pct"/>
            <w:gridSpan w:val="4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  <w:tc>
          <w:tcPr>
            <w:tcW w:w="733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34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城镇人均公园绿地面积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7642B">
              <w:rPr>
                <w:rFonts w:ascii="Times New Roman" w:eastAsia="仿宋_GB2312" w:hAnsi="Times New Roman"/>
                <w:szCs w:val="21"/>
              </w:rPr>
              <w:t>平方米</w:t>
            </w:r>
            <w:r w:rsidRPr="0027642B">
              <w:rPr>
                <w:rFonts w:ascii="Times New Roman" w:eastAsia="仿宋_GB2312" w:hAnsi="Times New Roman"/>
                <w:szCs w:val="21"/>
              </w:rPr>
              <w:t>/</w:t>
            </w:r>
            <w:r w:rsidRPr="0027642B">
              <w:rPr>
                <w:rFonts w:ascii="Times New Roman" w:eastAsia="仿宋_GB2312" w:hAnsi="Times New Roman"/>
                <w:szCs w:val="21"/>
              </w:rPr>
              <w:t>人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7642B">
              <w:rPr>
                <w:rFonts w:ascii="Times New Roman" w:eastAsia="仿宋_GB2312" w:hAnsi="Times New Roman"/>
                <w:szCs w:val="21"/>
              </w:rPr>
              <w:t>≥15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参考性</w:t>
            </w:r>
          </w:p>
        </w:tc>
        <w:tc>
          <w:tcPr>
            <w:tcW w:w="2179" w:type="pct"/>
            <w:gridSpan w:val="6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不涉及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35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农村无害</w:t>
            </w:r>
            <w:proofErr w:type="gramStart"/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化卫生</w:t>
            </w:r>
            <w:proofErr w:type="gramEnd"/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厕所普及率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完成上级规定的目标任务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约束性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99.03</w:t>
            </w:r>
          </w:p>
        </w:tc>
        <w:tc>
          <w:tcPr>
            <w:tcW w:w="708" w:type="pct"/>
            <w:gridSpan w:val="4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  <w:tc>
          <w:tcPr>
            <w:tcW w:w="733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36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城镇新建绿色建筑比例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≥50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参考性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  <w:tc>
          <w:tcPr>
            <w:tcW w:w="708" w:type="pct"/>
            <w:gridSpan w:val="4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  <w:tc>
          <w:tcPr>
            <w:tcW w:w="733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37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7642B">
              <w:rPr>
                <w:rFonts w:ascii="Times New Roman" w:eastAsia="仿宋_GB2312" w:hAnsi="Times New Roman"/>
                <w:szCs w:val="21"/>
              </w:rPr>
              <w:t>公共交通出行分担率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7642B">
              <w:rPr>
                <w:rFonts w:ascii="Times New Roman" w:eastAsia="仿宋_GB2312" w:hAnsi="Times New Roman"/>
                <w:szCs w:val="21"/>
              </w:rPr>
              <w:t>%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7642B">
              <w:rPr>
                <w:rFonts w:ascii="Times New Roman" w:eastAsia="仿宋_GB2312" w:hAnsi="Times New Roman"/>
                <w:szCs w:val="21"/>
              </w:rPr>
              <w:t>超、特大城市</w:t>
            </w:r>
            <w:r w:rsidRPr="0027642B">
              <w:rPr>
                <w:rFonts w:ascii="Times New Roman" w:eastAsia="仿宋_GB2312" w:hAnsi="Times New Roman"/>
                <w:szCs w:val="21"/>
              </w:rPr>
              <w:t>≥70</w:t>
            </w:r>
          </w:p>
          <w:p w:rsidR="0027642B" w:rsidRPr="0027642B" w:rsidRDefault="0027642B" w:rsidP="00547CC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7642B">
              <w:rPr>
                <w:rFonts w:ascii="Times New Roman" w:eastAsia="仿宋_GB2312" w:hAnsi="Times New Roman"/>
                <w:szCs w:val="21"/>
              </w:rPr>
              <w:t>大城市</w:t>
            </w:r>
            <w:r w:rsidRPr="0027642B">
              <w:rPr>
                <w:rFonts w:ascii="Times New Roman" w:eastAsia="仿宋_GB2312" w:hAnsi="Times New Roman"/>
                <w:szCs w:val="21"/>
              </w:rPr>
              <w:t>≥60</w:t>
            </w:r>
          </w:p>
          <w:p w:rsidR="0027642B" w:rsidRPr="0027642B" w:rsidRDefault="0027642B" w:rsidP="00547CC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7642B">
              <w:rPr>
                <w:rFonts w:ascii="Times New Roman" w:eastAsia="仿宋_GB2312" w:hAnsi="Times New Roman"/>
                <w:szCs w:val="21"/>
              </w:rPr>
              <w:t>中小城市</w:t>
            </w:r>
            <w:r w:rsidRPr="0027642B">
              <w:rPr>
                <w:rFonts w:ascii="Times New Roman" w:eastAsia="仿宋_GB2312" w:hAnsi="Times New Roman"/>
                <w:szCs w:val="21"/>
              </w:rPr>
              <w:t>≥50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参考性</w:t>
            </w:r>
          </w:p>
        </w:tc>
        <w:tc>
          <w:tcPr>
            <w:tcW w:w="2179" w:type="pct"/>
            <w:gridSpan w:val="6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不涉及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38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城镇生活垃圾分类减量化</w:t>
            </w:r>
          </w:p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行动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-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实施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参考性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实施</w:t>
            </w:r>
          </w:p>
        </w:tc>
        <w:tc>
          <w:tcPr>
            <w:tcW w:w="677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实施</w:t>
            </w:r>
          </w:p>
        </w:tc>
        <w:tc>
          <w:tcPr>
            <w:tcW w:w="764" w:type="pct"/>
            <w:gridSpan w:val="4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实施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39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7642B">
              <w:rPr>
                <w:rFonts w:ascii="Times New Roman" w:eastAsia="仿宋_GB2312" w:hAnsi="Times New Roman"/>
                <w:szCs w:val="21"/>
              </w:rPr>
              <w:t>绿色产品市场占有率</w:t>
            </w:r>
          </w:p>
          <w:p w:rsidR="0027642B" w:rsidRPr="0027642B" w:rsidRDefault="0027642B" w:rsidP="0027642B">
            <w:pPr>
              <w:adjustRightInd w:val="0"/>
              <w:snapToGrid w:val="0"/>
              <w:ind w:firstLineChars="100" w:firstLine="21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7642B">
              <w:rPr>
                <w:rFonts w:ascii="Times New Roman" w:eastAsia="仿宋_GB2312" w:hAnsi="Times New Roman"/>
                <w:szCs w:val="21"/>
              </w:rPr>
              <w:t>节能家电市场占有率</w:t>
            </w:r>
          </w:p>
          <w:p w:rsidR="0027642B" w:rsidRPr="0027642B" w:rsidRDefault="0027642B" w:rsidP="0027642B">
            <w:pPr>
              <w:adjustRightInd w:val="0"/>
              <w:snapToGrid w:val="0"/>
              <w:ind w:firstLineChars="100" w:firstLine="21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7642B">
              <w:rPr>
                <w:rFonts w:ascii="Times New Roman" w:eastAsia="仿宋_GB2312" w:hAnsi="Times New Roman"/>
                <w:szCs w:val="21"/>
              </w:rPr>
              <w:t>在售用水器具中节水型器具占比</w:t>
            </w:r>
          </w:p>
          <w:p w:rsidR="0027642B" w:rsidRPr="0027642B" w:rsidRDefault="0027642B" w:rsidP="0027642B">
            <w:pPr>
              <w:adjustRightInd w:val="0"/>
              <w:snapToGrid w:val="0"/>
              <w:ind w:firstLineChars="100" w:firstLine="21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7642B">
              <w:rPr>
                <w:rFonts w:ascii="Times New Roman" w:eastAsia="仿宋_GB2312" w:hAnsi="Times New Roman"/>
                <w:szCs w:val="21"/>
              </w:rPr>
              <w:t>一次性消费品人均使用量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7642B">
              <w:rPr>
                <w:rFonts w:ascii="Times New Roman" w:eastAsia="仿宋_GB2312" w:hAnsi="Times New Roman"/>
                <w:szCs w:val="21"/>
              </w:rPr>
              <w:t>%</w:t>
            </w:r>
          </w:p>
          <w:p w:rsidR="0027642B" w:rsidRPr="0027642B" w:rsidRDefault="0027642B" w:rsidP="00547CC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7642B">
              <w:rPr>
                <w:rFonts w:ascii="Times New Roman" w:eastAsia="仿宋_GB2312" w:hAnsi="Times New Roman"/>
                <w:szCs w:val="21"/>
              </w:rPr>
              <w:t>%</w:t>
            </w:r>
          </w:p>
          <w:p w:rsidR="0027642B" w:rsidRPr="0027642B" w:rsidRDefault="0027642B" w:rsidP="00547CC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7642B">
              <w:rPr>
                <w:rFonts w:ascii="Times New Roman" w:eastAsia="仿宋_GB2312" w:hAnsi="Times New Roman"/>
                <w:szCs w:val="21"/>
              </w:rPr>
              <w:t>千克</w:t>
            </w:r>
          </w:p>
        </w:tc>
        <w:tc>
          <w:tcPr>
            <w:tcW w:w="780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7642B">
              <w:rPr>
                <w:rFonts w:ascii="Times New Roman" w:eastAsia="仿宋_GB2312" w:hAnsi="Times New Roman"/>
                <w:szCs w:val="21"/>
              </w:rPr>
              <w:t>≥50</w:t>
            </w:r>
          </w:p>
          <w:p w:rsidR="0027642B" w:rsidRPr="0027642B" w:rsidRDefault="0027642B" w:rsidP="00547CC0">
            <w:pPr>
              <w:pStyle w:val="Default"/>
              <w:jc w:val="center"/>
              <w:rPr>
                <w:rFonts w:ascii="Times New Roman" w:eastAsia="仿宋_GB2312"/>
                <w:color w:val="auto"/>
                <w:sz w:val="21"/>
                <w:szCs w:val="21"/>
              </w:rPr>
            </w:pPr>
            <w:r w:rsidRPr="0027642B">
              <w:rPr>
                <w:rFonts w:ascii="Times New Roman" w:eastAsia="仿宋_GB2312"/>
                <w:color w:val="auto"/>
                <w:sz w:val="21"/>
                <w:szCs w:val="21"/>
              </w:rPr>
              <w:t>100</w:t>
            </w:r>
          </w:p>
          <w:p w:rsidR="0027642B" w:rsidRPr="0027642B" w:rsidRDefault="0027642B" w:rsidP="00547CC0">
            <w:pPr>
              <w:pStyle w:val="Default"/>
              <w:jc w:val="center"/>
              <w:rPr>
                <w:rFonts w:ascii="Times New Roman" w:eastAsia="仿宋_GB2312"/>
                <w:color w:val="auto"/>
                <w:sz w:val="21"/>
                <w:szCs w:val="21"/>
              </w:rPr>
            </w:pPr>
            <w:r w:rsidRPr="0027642B">
              <w:rPr>
                <w:rFonts w:ascii="Times New Roman" w:eastAsia="仿宋_GB2312"/>
                <w:color w:val="auto"/>
                <w:sz w:val="21"/>
                <w:szCs w:val="21"/>
              </w:rPr>
              <w:t>逐步下降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参考性</w:t>
            </w:r>
          </w:p>
        </w:tc>
        <w:tc>
          <w:tcPr>
            <w:tcW w:w="2179" w:type="pct"/>
            <w:gridSpan w:val="6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不涉及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40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政府绿色采购比例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≥80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约束性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89.22</w:t>
            </w:r>
          </w:p>
        </w:tc>
        <w:tc>
          <w:tcPr>
            <w:tcW w:w="677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93.58</w:t>
            </w:r>
          </w:p>
        </w:tc>
        <w:tc>
          <w:tcPr>
            <w:tcW w:w="764" w:type="pct"/>
            <w:gridSpan w:val="4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96.62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41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党政领导干部参加生态文明培训的人数比例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参考性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  <w:tc>
          <w:tcPr>
            <w:tcW w:w="677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  <w:tc>
          <w:tcPr>
            <w:tcW w:w="764" w:type="pct"/>
            <w:gridSpan w:val="4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100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42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公众对生态文明建设的满意度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≥80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参考性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91.9</w:t>
            </w:r>
          </w:p>
        </w:tc>
        <w:tc>
          <w:tcPr>
            <w:tcW w:w="677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93.1</w:t>
            </w:r>
          </w:p>
        </w:tc>
        <w:tc>
          <w:tcPr>
            <w:tcW w:w="764" w:type="pct"/>
            <w:gridSpan w:val="4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93.5</w:t>
            </w:r>
          </w:p>
        </w:tc>
      </w:tr>
      <w:tr w:rsidR="00661E63" w:rsidRPr="0027642B" w:rsidTr="00661E63">
        <w:trPr>
          <w:gridAfter w:val="1"/>
          <w:wAfter w:w="5" w:type="pct"/>
          <w:trHeight w:val="90"/>
        </w:trPr>
        <w:tc>
          <w:tcPr>
            <w:tcW w:w="34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43</w:t>
            </w:r>
          </w:p>
        </w:tc>
        <w:tc>
          <w:tcPr>
            <w:tcW w:w="779" w:type="pct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公众对生态文明建设的参与度</w:t>
            </w:r>
          </w:p>
        </w:tc>
        <w:tc>
          <w:tcPr>
            <w:tcW w:w="32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%</w:t>
            </w:r>
          </w:p>
        </w:tc>
        <w:tc>
          <w:tcPr>
            <w:tcW w:w="780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≥80</w:t>
            </w:r>
          </w:p>
        </w:tc>
        <w:tc>
          <w:tcPr>
            <w:tcW w:w="595" w:type="pct"/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参考性</w:t>
            </w:r>
          </w:p>
        </w:tc>
        <w:tc>
          <w:tcPr>
            <w:tcW w:w="73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88.5</w:t>
            </w:r>
          </w:p>
        </w:tc>
        <w:tc>
          <w:tcPr>
            <w:tcW w:w="677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92.6</w:t>
            </w:r>
          </w:p>
        </w:tc>
        <w:tc>
          <w:tcPr>
            <w:tcW w:w="764" w:type="pct"/>
            <w:gridSpan w:val="4"/>
            <w:tcMar>
              <w:top w:w="12" w:type="dxa"/>
              <w:left w:w="12" w:type="dxa"/>
              <w:right w:w="12" w:type="dxa"/>
            </w:tcMar>
            <w:vAlign w:val="center"/>
          </w:tcPr>
          <w:p w:rsidR="0027642B" w:rsidRPr="0027642B" w:rsidRDefault="0027642B" w:rsidP="00547C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4"/>
              </w:rPr>
            </w:pPr>
            <w:r w:rsidRPr="0027642B">
              <w:rPr>
                <w:rFonts w:ascii="Times New Roman" w:eastAsia="仿宋_GB2312" w:hAnsi="Times New Roman"/>
                <w:kern w:val="0"/>
                <w:szCs w:val="24"/>
              </w:rPr>
              <w:t>93.7</w:t>
            </w:r>
          </w:p>
        </w:tc>
      </w:tr>
    </w:tbl>
    <w:p w:rsidR="0027642B" w:rsidRDefault="0027642B"/>
    <w:sectPr w:rsidR="00276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42B"/>
    <w:rsid w:val="00103EC2"/>
    <w:rsid w:val="0027642B"/>
    <w:rsid w:val="0066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2764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27642B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kern w:val="0"/>
      <w:sz w:val="24"/>
      <w:szCs w:val="20"/>
    </w:rPr>
  </w:style>
  <w:style w:type="character" w:customStyle="1" w:styleId="font131">
    <w:name w:val="font131"/>
    <w:qFormat/>
    <w:rsid w:val="0027642B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qFormat/>
    <w:rsid w:val="0027642B"/>
    <w:rPr>
      <w:rFonts w:ascii="黑体" w:eastAsia="黑体" w:hAnsi="宋体" w:cs="黑体"/>
      <w:color w:val="000000"/>
      <w:sz w:val="24"/>
      <w:szCs w:val="24"/>
      <w:u w:val="none"/>
    </w:rPr>
  </w:style>
  <w:style w:type="character" w:customStyle="1" w:styleId="font81">
    <w:name w:val="font81"/>
    <w:qFormat/>
    <w:rsid w:val="0027642B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81">
    <w:name w:val="font181"/>
    <w:qFormat/>
    <w:rsid w:val="0027642B"/>
    <w:rPr>
      <w:rFonts w:ascii="黑体" w:eastAsia="黑体" w:hAnsi="宋体" w:cs="黑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2764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27642B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kern w:val="0"/>
      <w:sz w:val="24"/>
      <w:szCs w:val="20"/>
    </w:rPr>
  </w:style>
  <w:style w:type="character" w:customStyle="1" w:styleId="font131">
    <w:name w:val="font131"/>
    <w:qFormat/>
    <w:rsid w:val="0027642B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qFormat/>
    <w:rsid w:val="0027642B"/>
    <w:rPr>
      <w:rFonts w:ascii="黑体" w:eastAsia="黑体" w:hAnsi="宋体" w:cs="黑体"/>
      <w:color w:val="000000"/>
      <w:sz w:val="24"/>
      <w:szCs w:val="24"/>
      <w:u w:val="none"/>
    </w:rPr>
  </w:style>
  <w:style w:type="character" w:customStyle="1" w:styleId="font81">
    <w:name w:val="font81"/>
    <w:qFormat/>
    <w:rsid w:val="0027642B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81">
    <w:name w:val="font181"/>
    <w:qFormat/>
    <w:rsid w:val="0027642B"/>
    <w:rPr>
      <w:rFonts w:ascii="黑体" w:eastAsia="黑体" w:hAnsi="宋体" w:cs="黑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1</cp:revision>
  <dcterms:created xsi:type="dcterms:W3CDTF">2022-09-27T06:21:00Z</dcterms:created>
  <dcterms:modified xsi:type="dcterms:W3CDTF">2022-09-27T06:34:00Z</dcterms:modified>
</cp:coreProperties>
</file>