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灌南县汤沟粮食储备库有限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</w:t>
      </w:r>
    </w:p>
    <w:p w14:paraId="3817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对外合作经营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标细则</w:t>
      </w:r>
    </w:p>
    <w:p w14:paraId="613823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4C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灌南县汤沟粮食储备库有限公司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粮库）承担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汤沟粮食储备库1号仓4000吨仓容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对外代储粮食合作竞标工作，为了保证招标工作的顺利实施，制定本细则。</w:t>
      </w:r>
    </w:p>
    <w:p w14:paraId="4A2E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交易当事人及有关工作人员必须遵守该细则。</w:t>
      </w:r>
    </w:p>
    <w:p w14:paraId="6F5AA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参加投标的代表报名时交验本人身份证和法定代表人签字、单位盖章的“交易授权书”和工商营业执照（副本），并缴纳交易保证金。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保证金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汇入指定账户，在本次招标会前到账。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如到保证金缴纳截止日，只有一人缴纳保证金视同中标，无需再进行竞标；</w:t>
      </w:r>
    </w:p>
    <w:p w14:paraId="26143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第四条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粮库在确认投标资格并收取保证金后，向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投标单位发放统一印制的标书。</w:t>
      </w:r>
    </w:p>
    <w:p w14:paraId="3A37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第五条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保证金缴纳截止日: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午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前</w:t>
      </w:r>
    </w:p>
    <w:p w14:paraId="4338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投标时间：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上午10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：00。</w:t>
      </w:r>
    </w:p>
    <w:p w14:paraId="2D90C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投标地点：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汤沟粮库二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楼会议室</w:t>
      </w:r>
    </w:p>
    <w:p w14:paraId="6BB7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公布中标结果时间: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午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highlight w:val="none"/>
        </w:rPr>
        <w:t>：00前。</w:t>
      </w:r>
    </w:p>
    <w:p w14:paraId="20AE0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签订《粮食合作经营协议》时间：202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签订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合作经营协议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三日内一次性交纳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一半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的合作经营费用。</w:t>
      </w:r>
    </w:p>
    <w:p w14:paraId="6F29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招标内容为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灌南县汤沟粮食储备库有限公司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汤沟粮食储备库1号仓空仓容4000吨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一年使用权（只可用于粮食经营活动）。</w:t>
      </w:r>
    </w:p>
    <w:p w14:paraId="08B7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配套设施：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粮库除了提供空仓库外，另有相应的场地供给使用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粮食出入库机械配套齐全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水电齐全，具体需方根据需要可实地查看，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粮库亦可为中标单位或个人代办农发行贷款，同时中标人应承担相应的贷款利息。</w:t>
      </w:r>
    </w:p>
    <w:p w14:paraId="5746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灌南县汤沟粮食储备库有限公司汤沟粮食储备库1号仓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对外招标底价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吨/年。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该款项为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粮库收取的合作经营利润，上下力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费用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中标者自理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>汤沟粮库使用本库指定外包单位出入库作业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粮库将积极配合从农发行办理自营粮食收购贷款，需方应承担相对应的该批贷款利息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利息按农发行收取利息收取、也可以按年利息3.45%收取，两者二选一。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同时需方再按照所需资金交纳1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%的保证金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玉米收购为15%，特殊情况略有浮动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方如需使用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粮库从农发行取得的贷款，则用该笔贷款收购的粮食所有权归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粮库所有，相应的，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粮库有权监督粮食入库的质量与价格，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价格随市场价格进行开票收购、单一品种价格可以高于市场价格收购及当期收购的粮食保证金提高15%进行缴纳。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如果发现入库的粮食质量不符合安全储粮标准的，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粮库有权拒绝该笔粮食入库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具体粮食质量标准见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《粮食合作经营协议》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贷款形成的粮食在出库前，需方应当带款提货，所支付的价款与收购价格相同。</w:t>
      </w:r>
    </w:p>
    <w:p w14:paraId="1686D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第十三条 合作经营利润收取方式：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在首批次粮食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入库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完成时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收取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收取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一半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款项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全部出库完毕收取全部款项。</w:t>
      </w:r>
    </w:p>
    <w:p w14:paraId="4C6D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第十四条 中标单位承担安全生产责任，汤沟粮库有权对中标单位行使安全生产监管权。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中标单位必须安排24小时驻库监管人员，驻库监管人员费用由中标方承担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经营中发生安全生产事故造成经济损失由中标方赔偿。</w:t>
      </w:r>
    </w:p>
    <w:p w14:paraId="4278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招标工作按交投标标书的先后顺序，依次现场开标。</w:t>
      </w:r>
    </w:p>
    <w:p w14:paraId="69C0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中标单位或个人如使用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粮库从农发行借入的款项，则应同时接受农发行监管。粮食发生的损失与损耗与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粮库无关。</w:t>
      </w:r>
      <w:bookmarkStart w:id="0" w:name="_GoBack"/>
      <w:bookmarkEnd w:id="0"/>
    </w:p>
    <w:p w14:paraId="1602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在等于或高于标底价格的范围内，由高至低分别确定中标单位；若由两位或两位以上投标者所报价格相同，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在相同价格基础上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价高者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中标。</w:t>
      </w:r>
    </w:p>
    <w:p w14:paraId="5895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本次招标粮库空仓库对外代储粮食的最后出库时限为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，中标单位不得以任何理由实施超过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粮库装卸能力的粮食出入库行为。</w:t>
      </w:r>
    </w:p>
    <w:p w14:paraId="5300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投标单位或个人在交易前缴纳的交易保证金，在合同履行时作为合同定金处理（待合同完全履行后，定金正常退回）；未中标的，在招标会结束后贰个工作日内退回。</w:t>
      </w:r>
    </w:p>
    <w:p w14:paraId="6E314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粮库应积极配合中标单位或个人进行粮食出入库工作，不得刁难、有意拖延粮食入仓及粮食出库提货时间。</w:t>
      </w:r>
    </w:p>
    <w:p w14:paraId="4F57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中标单位或个人未按合同相关规定履约的，其已交纳的保证金归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粮库所有，并应承担由此造成的一切经济损失。双方若发生经济纠纷，可依法向灌南县人民法院提起诉讼。</w:t>
      </w:r>
    </w:p>
    <w:p w14:paraId="4E96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二十二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本细则只适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用于202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举行的本次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汤沟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粮库空仓库对外粮食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合作经营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竞标会议，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最终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解释权属于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灌南县汤沟粮食储备库有限公司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B66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41E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905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灌南县汤沟粮食储备库有限公司</w:t>
      </w:r>
    </w:p>
    <w:p w14:paraId="066C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2026年6月3日</w:t>
      </w:r>
    </w:p>
    <w:p w14:paraId="7F42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B959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11A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灌南县汤沟粮食储备库有限公司</w:t>
      </w:r>
    </w:p>
    <w:p w14:paraId="5C10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合作经营招标书</w:t>
      </w:r>
    </w:p>
    <w:p w14:paraId="2542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page" w:tblpX="1837" w:tblpY="1226"/>
        <w:tblOverlap w:val="never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655"/>
        <w:gridCol w:w="1842"/>
        <w:gridCol w:w="1570"/>
        <w:gridCol w:w="1466"/>
        <w:gridCol w:w="957"/>
      </w:tblGrid>
      <w:tr w14:paraId="2F79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F9D8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标的号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D09B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存粮点及仓厫</w:t>
            </w:r>
          </w:p>
        </w:tc>
        <w:tc>
          <w:tcPr>
            <w:tcW w:w="18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E9E6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仓容</w:t>
            </w:r>
          </w:p>
        </w:tc>
        <w:tc>
          <w:tcPr>
            <w:tcW w:w="1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B88C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最低价格</w:t>
            </w:r>
          </w:p>
          <w:p w14:paraId="00F9A7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（元/吨/年）</w:t>
            </w:r>
          </w:p>
        </w:tc>
        <w:tc>
          <w:tcPr>
            <w:tcW w:w="14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382A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应标价格</w:t>
            </w:r>
          </w:p>
          <w:p w14:paraId="2F50C8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（元/吨/年）</w:t>
            </w: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DED2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 w14:paraId="2DCF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0C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3DB6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灌南县汤沟粮食储备库有限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公司1号仓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33F5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4000吨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0B2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39D8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1631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556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459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561C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674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9DCC0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4161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D7E9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A7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EC1CD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A252F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2E188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93FF7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4AB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128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E14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F805F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BD8288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C29FB46">
            <w:pPr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0B23FDB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B40C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2DF2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17C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AC92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4B14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ABA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180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AB5CA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EB2D5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DF254A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70C0413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462012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E1B595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法定代表（或委托人）（签字）：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36D546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5AF6C">
      <w:pPr>
        <w:ind w:firstLine="5120" w:firstLineChars="16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C4062A-B4AE-4495-9BD9-3F84D5A5CF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120DAA-EA6A-4631-947B-D23A5018C0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3FE840-B6E7-48CB-8414-09F0ACBA34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ODRlNDU1MDhkMTk5NzMzNzQ1N2U1OTRkNjczZGMifQ=="/>
  </w:docVars>
  <w:rsids>
    <w:rsidRoot w:val="6F0C65DB"/>
    <w:rsid w:val="00DF5652"/>
    <w:rsid w:val="01486552"/>
    <w:rsid w:val="02090D11"/>
    <w:rsid w:val="03BE7AAE"/>
    <w:rsid w:val="05017C52"/>
    <w:rsid w:val="054B40B9"/>
    <w:rsid w:val="060A23B4"/>
    <w:rsid w:val="0610070F"/>
    <w:rsid w:val="09022102"/>
    <w:rsid w:val="09F21EF1"/>
    <w:rsid w:val="0BFE1861"/>
    <w:rsid w:val="0E421965"/>
    <w:rsid w:val="0F053CF5"/>
    <w:rsid w:val="0F3E0385"/>
    <w:rsid w:val="10BD64E2"/>
    <w:rsid w:val="18B2472C"/>
    <w:rsid w:val="1E5524BD"/>
    <w:rsid w:val="1E5B4BDB"/>
    <w:rsid w:val="1EC43D73"/>
    <w:rsid w:val="1F0329B0"/>
    <w:rsid w:val="20745325"/>
    <w:rsid w:val="217D0069"/>
    <w:rsid w:val="252060FF"/>
    <w:rsid w:val="256D7CEF"/>
    <w:rsid w:val="26B52BE9"/>
    <w:rsid w:val="26F83066"/>
    <w:rsid w:val="2ECC4926"/>
    <w:rsid w:val="347E456C"/>
    <w:rsid w:val="362D3A27"/>
    <w:rsid w:val="37327C42"/>
    <w:rsid w:val="38443D66"/>
    <w:rsid w:val="3AC802EF"/>
    <w:rsid w:val="3CBA2D97"/>
    <w:rsid w:val="3D7D12D7"/>
    <w:rsid w:val="3FD857EA"/>
    <w:rsid w:val="412E2894"/>
    <w:rsid w:val="419E58AE"/>
    <w:rsid w:val="425C3F2F"/>
    <w:rsid w:val="43871258"/>
    <w:rsid w:val="45851AC5"/>
    <w:rsid w:val="47B75973"/>
    <w:rsid w:val="482B138A"/>
    <w:rsid w:val="48B74752"/>
    <w:rsid w:val="491D5732"/>
    <w:rsid w:val="4BA12F1F"/>
    <w:rsid w:val="4E833AF9"/>
    <w:rsid w:val="513A604D"/>
    <w:rsid w:val="52AF3E17"/>
    <w:rsid w:val="53416AC8"/>
    <w:rsid w:val="53C10695"/>
    <w:rsid w:val="5D076B89"/>
    <w:rsid w:val="5D6121B1"/>
    <w:rsid w:val="61666CCC"/>
    <w:rsid w:val="61C84805"/>
    <w:rsid w:val="6661053D"/>
    <w:rsid w:val="6D095440"/>
    <w:rsid w:val="6F0C65DB"/>
    <w:rsid w:val="70123686"/>
    <w:rsid w:val="70CA663D"/>
    <w:rsid w:val="756E770A"/>
    <w:rsid w:val="76763C81"/>
    <w:rsid w:val="780C4F6B"/>
    <w:rsid w:val="7C4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1816</Words>
  <Characters>1871</Characters>
  <Lines>0</Lines>
  <Paragraphs>0</Paragraphs>
  <TotalTime>18</TotalTime>
  <ScaleCrop>false</ScaleCrop>
  <LinksUpToDate>false</LinksUpToDate>
  <CharactersWithSpaces>1982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2023-05-16T00:49:00Z</dcterms:created>
  <dc:creator>86152</dc:creator>
  <cp:lastModifiedBy>马致远</cp:lastModifiedBy>
  <dcterms:modified xsi:type="dcterms:W3CDTF">2026-06-03T01:26:57Z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AB3DB4DB42164064B93E9D661EE0FC32_13</vt:lpwstr>
  </property>
  <property fmtid="{D5CDD505-2E9C-101B-9397-08002B2CF9AE}" pid="4" name="KSOTemplateDocerSaveRecord">
    <vt:lpwstr>eyJoZGlkIjoiYWY2MTNlMTk2MmI2NWI5YzI2MjQ5ZDQyZDJjYTg3OGUiLCJ1c2VySWQiOiIxMTk4Mjc5MzUxIn0=</vt:lpwstr>
  </property>
</Properties>
</file>