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AC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灌南县规上工业企业研发机构覆盖率提升方案（2026—2030年）</w:t>
      </w:r>
    </w:p>
    <w:p w14:paraId="514E583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（征求意见稿）</w:t>
      </w:r>
    </w:p>
    <w:p w14:paraId="2BABD7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C0092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为加快推动全县规上工业企业研发机构建设，切实提升研发能力，充分激发创新活力，特制定本方案。</w:t>
      </w:r>
    </w:p>
    <w:p w14:paraId="439E9B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>一、总体要求</w:t>
      </w:r>
    </w:p>
    <w:p w14:paraId="4DEC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深入贯彻落实创新驱动发展战略，全面强化企业创新主体地位，坚持总体部署、分类施策、系统推进，着力推动规上工业企业研发机构“量质齐升”，为加快培育发展新质生产力、推动高质量发展提供有力支撑。到2026年、2028年、2030年末，规上工业企业研发机构覆盖率分别达到20%、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%、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60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%，规上工业企业研发费用与地区生产总值之比分别达到1%、1.3%、1.4%。</w:t>
      </w:r>
    </w:p>
    <w:p w14:paraId="502F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二、评价体系</w:t>
      </w:r>
    </w:p>
    <w:p w14:paraId="0761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本方案所指企业研发机构是指企业根据市场竞争需要设立或与高校、科研院所联合组建，具有研发方向和创新目标，从事技术研发、产品创新、工艺改进、成果转化等创新活动的机构。主要包括市级以上政府部门认定且由企业建设的研发机构，以及未获得市级以上政府部门认定、通过县级研发机构备案的企业研发机构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本方案评价的企业研发机构，如与上级关于规上工业工业研发机构建设意见不一致的，以上级文件规定为准。</w:t>
      </w:r>
    </w:p>
    <w:p w14:paraId="5129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（一）市级以上研发机构。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主要包括市级以上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发改、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科技、工信以及其他部门认定的研发机构。</w:t>
      </w:r>
    </w:p>
    <w:p w14:paraId="22A17EFC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（二）县级研发机构。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备案企业原则上应同时具备以下条件：</w:t>
      </w:r>
    </w:p>
    <w:p w14:paraId="6D39B56D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1. 有研发投入，企业开展了研发活动并有持续稳定的研发经费投入，并对研发经费进行了归集。上年度研发费用不低于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0万元，且与营业收入之比不低于2%。</w:t>
      </w:r>
    </w:p>
    <w:p w14:paraId="1F9A87D4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2. 有研发人员，企业拥有稳定的研发人员队伍，专职研发人员不少于3名。</w:t>
      </w:r>
    </w:p>
    <w:p w14:paraId="3A66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3. 有研发设施，企业研发场所独立集中，面积不少于100平方米，拥有研发活动所需各类仪器、设备、装备等，原值合计不少于30万元。</w:t>
      </w:r>
    </w:p>
    <w:p w14:paraId="3F11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三、重点任务</w:t>
      </w:r>
    </w:p>
    <w:p w14:paraId="02B82C8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（一）强化创新主体培育，夯实研发机构建设基础</w:t>
      </w:r>
    </w:p>
    <w:p w14:paraId="65D1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1. 推动科技型企业“小升规”。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加大科技型中小企业培育力度，健全全周期服务体系，实施“小升规”行动，重点推动高新技术企业、专精特新中小企业、科技和创新型中小企业等上规升级。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新升规企业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同步指导规划建设研发机构，实现“升规即建研”。（工信局、科技局、发改委，各镇、园区按职责分工负责；以下均需各镇、园区落实，不再列出）</w:t>
      </w:r>
    </w:p>
    <w:p w14:paraId="02D5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4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2. 加快规上工业企业“高新化”。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支持传统产业规上工业企业持续推进生产制造方式转型，加强关键核心技术研发及产业化，加快数智化、绿色化改造升级。完善高新技术企业发现挖掘机制，对未获评高新技术企业的规上工业企业开展专项培育，鼓励建设研发机构、加大研发投入。到2030年，规上工业高新技术企业研发机构动态保持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90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%覆盖率。（科技局、工信局按职责分工负责）</w:t>
      </w:r>
    </w:p>
    <w:p w14:paraId="56BE4A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（二）构建梯次培育体系，提升研发机构建设质量</w:t>
      </w:r>
    </w:p>
    <w:p w14:paraId="46F9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14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3. 建立县级研发机构体系。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研发机构纳入科技计划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体系，鼓励并指导企业结合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需求与行业特点，加强共性技术研究，加大研发投入、集聚研发人才、明确研发业务，按照“有研发投入、有研发人员、有研发设施”的“三有标准”，自建研发中心，着力增强企业发展后劲和市场竞争力。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（科技局、工信局、发改委按职责分工负责）</w:t>
      </w:r>
    </w:p>
    <w:p w14:paraId="1AFE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4. 积极争创省市级研发机构。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建立县级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市级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省级研发机构梯度培育机制，积极推动符合条件的规上工业企业申报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省市级研发机构，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每年遴选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家以上县级优秀研发机构进行重点培育，对标市级、省级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研发机构建设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标准，推动提档升级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到2026年、2028年、2030年末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新培育市级以上研发机构分别达到5家、15家、25家以上。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（科技局、工信局、发改委按职责分工负责）</w:t>
      </w:r>
    </w:p>
    <w:p w14:paraId="5D2E7CC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（三）深化产学研协同，激活研发机构创新动能</w:t>
      </w:r>
    </w:p>
    <w:p w14:paraId="01BE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5. 拓展产学研合作路径。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积极搭建产学研对接平台，推动规上工业企业与高校、科研院所深度合作交流，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聚焦企业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创新需求，联合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开展关键核心技术攻关。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支持龙头企业联合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上下游企业、高校院所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共建新型研发机构。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每年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产学研合作项目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项以上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2028年、2030年末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累计新增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产学研合作项目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分别达到60项、100项以上。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（科技局负责）</w:t>
      </w:r>
    </w:p>
    <w:p w14:paraId="6BE383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6. 支持高层次人才引育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组织开展“高校行”等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专题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活动，鼓励规上工业企业引进高层次人才，支持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双创计划”、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市“521工程”等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各级各类人才计划项目。用好科技镇长团、科技副总等大院大所专家资源，鼓励高校院所专家到企业兼职，为企业加快集聚高层次创新人才团队。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每年新增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省“双创人才”1人，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2028年、2030年末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累计新增省市级双创人才分别达到6人、10人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人才办、科技局、工信局、人社局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按职责分工负责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</w:t>
      </w:r>
    </w:p>
    <w:p w14:paraId="464568B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（四）强化要素保障，优化研发机构建设生态</w:t>
      </w:r>
    </w:p>
    <w:p w14:paraId="4A2316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用足研发投入税收政策。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落实企业研发费用加计扣除、高新技术企业所得税减免、先进制造业企业增值税加计抵减等科技创新税收优惠政策，支持企业应享尽享、能享快享。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税务局、科技局、工信局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按职责分工负责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</w:t>
      </w:r>
    </w:p>
    <w:p w14:paraId="4DC0C42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、保障措施</w:t>
      </w:r>
    </w:p>
    <w:p w14:paraId="03F92C1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加强组织领导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县政府分管领导牵头推进规上工业企业研发机构建设工作，定期召开专题会议，协调解决工作推进中的困难问题。由科技局负责牵头组织实施，县级有关单位密切配合，各镇、园区具体推进。</w:t>
      </w:r>
    </w:p>
    <w:p w14:paraId="650E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2. 加强跟踪服务。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建立常态化企业研发机构服务机制，通过开展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政策解读、建设指导、跟踪回访等工作，为企业研发机构建设提供全方位服务。</w:t>
      </w:r>
    </w:p>
    <w:p w14:paraId="14FB502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3. 加强监测考核。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将规上工业企业研发机构覆盖率、研发投入强度等指标纳入各镇、园区年度综合考核体系，明确目标任务与评价标准。通过科学考评与动态监测，推动提升规上工业企业创新能力。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361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7207C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FF71A">
                          <w:pPr>
                            <w:pStyle w:val="9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FF71A">
                    <w:pPr>
                      <w:pStyle w:val="9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27357587"/>
                          </w:sdtPr>
                          <w:sdtContent>
                            <w:p w14:paraId="762BE883">
                              <w:pPr>
                                <w:pStyle w:val="9"/>
                                <w:jc w:val="center"/>
                              </w:pPr>
                            </w:p>
                          </w:sdtContent>
                        </w:sdt>
                        <w:p w14:paraId="4E2130C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27357587"/>
                    </w:sdtPr>
                    <w:sdtContent>
                      <w:p w14:paraId="762BE883">
                        <w:pPr>
                          <w:pStyle w:val="9"/>
                          <w:jc w:val="center"/>
                        </w:pPr>
                      </w:p>
                    </w:sdtContent>
                  </w:sdt>
                  <w:p w14:paraId="4E2130C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0D03E6D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4ECF"/>
    <w:rsid w:val="00FA00A3"/>
    <w:rsid w:val="044E498E"/>
    <w:rsid w:val="084C64B0"/>
    <w:rsid w:val="14BD7B77"/>
    <w:rsid w:val="19B65CFF"/>
    <w:rsid w:val="1E65704C"/>
    <w:rsid w:val="23D5432C"/>
    <w:rsid w:val="35260E8C"/>
    <w:rsid w:val="37CD0C61"/>
    <w:rsid w:val="3A9736D8"/>
    <w:rsid w:val="3B2A2C59"/>
    <w:rsid w:val="473E02B7"/>
    <w:rsid w:val="4B360FD7"/>
    <w:rsid w:val="4B8F3B84"/>
    <w:rsid w:val="57E66A96"/>
    <w:rsid w:val="5A165757"/>
    <w:rsid w:val="5A3A62F2"/>
    <w:rsid w:val="5B2A30A1"/>
    <w:rsid w:val="68637725"/>
    <w:rsid w:val="68BB130F"/>
    <w:rsid w:val="6915103B"/>
    <w:rsid w:val="695B318D"/>
    <w:rsid w:val="6D972663"/>
    <w:rsid w:val="6FE23626"/>
    <w:rsid w:val="71EE5E0C"/>
    <w:rsid w:val="75E270AF"/>
    <w:rsid w:val="7CF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一级条标题"/>
    <w:basedOn w:val="7"/>
    <w:next w:val="8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7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333333"/>
      <w:u w:val="none"/>
    </w:rPr>
  </w:style>
  <w:style w:type="paragraph" w:customStyle="1" w:styleId="16">
    <w:name w:val="样式 样式 左侧:  2 字符 + 左侧:  0.85 厘米 首行缩进:  2 字符1"/>
    <w:basedOn w:val="1"/>
    <w:qFormat/>
    <w:uiPriority w:val="0"/>
    <w:pPr>
      <w:spacing w:line="360" w:lineRule="auto"/>
      <w:ind w:left="482" w:firstLine="200" w:firstLineChars="20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e32ae-be24-4f5d-9887-6c79316a6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2144</Words>
  <Characters>2230</Characters>
  <Lines>0</Lines>
  <Paragraphs>0</Paragraphs>
  <TotalTime>18</TotalTime>
  <ScaleCrop>false</ScaleCrop>
  <LinksUpToDate>false</LinksUpToDate>
  <CharactersWithSpaces>2244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2026-04-08T09:53:00Z</dcterms:created>
  <dc:creator>周加甲</dc:creator>
  <cp:lastModifiedBy>周加甲</cp:lastModifiedBy>
  <dcterms:modified xsi:type="dcterms:W3CDTF">2026-06-11T08:35:30Z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FDF3DCD5493F4317B78D64AAE6BA906F_13</vt:lpwstr>
  </property>
  <property fmtid="{D5CDD505-2E9C-101B-9397-08002B2CF9AE}" pid="4" name="KSOTemplateDocerSaveRecord">
    <vt:lpwstr>eyJoZGlkIjoiNWUyNDJiNTZjNWJmYjAxNGNiZjIxNjdhZmMyYmU1OWEiLCJ1c2VySWQiOiI0NDQxMzU2NDgifQ==</vt:lpwstr>
  </property>
</Properties>
</file>